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widowControl w:val="0"/>
        <w:pBdr/>
        <w:spacing w:after="160" w:line="259" w:lineRule="auto"/>
        <w:contextualSpacing w:val="0"/>
        <w:jc w:val="center"/>
        <w:rPr>
          <w:i w:val="1"/>
          <w:color w:val="cc0000"/>
          <w:sz w:val="32"/>
          <w:szCs w:val="32"/>
        </w:rPr>
      </w:pPr>
      <w:r w:rsidDel="00000000" w:rsidR="00000000" w:rsidRPr="00000000">
        <w:rPr>
          <w:b w:val="1"/>
          <w:color w:val="ba0c2f"/>
          <w:sz w:val="32"/>
          <w:szCs w:val="32"/>
          <w:rtl w:val="0"/>
        </w:rPr>
        <w:t xml:space="preserve">M3-H3-Restless Development’s Meaningful Youth Engagement Bullseye: Practical Examples from our work</w:t>
      </w: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Development Practitioner Role </w:t>
            </w:r>
          </w:p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Capacity Building &amp; Individual Support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4"/>
              </w:numPr>
              <w:pBdr/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All our programmes have toolkits for capacity building training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4"/>
              </w:numPr>
              <w:pBdr/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 have regular workshops and training for volunteers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4"/>
              </w:numPr>
              <w:pBdr/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 have assigned $100 for individual skills development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4"/>
              </w:numPr>
              <w:pBdr/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 have the Maarifa Platform (an online staff training platform)</w:t>
            </w:r>
          </w:p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Created and Invited Spaces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pBdr/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 Tanzania information Resource Centres established for girls to convene (created spaces)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pBdr/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Our Social Media networks for young people to converse or share ideas with us (created)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pBdr/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Community meetings where young people participate (invited)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pBdr/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Good relationship with development partners and government who invite young people to development forums (invited) - FP2020, #BankTheYouth, FURSA 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pBdr/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Good relationship with media that invite young people to share their stories (invited)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Development Practitioner Values and Behaviours</w:t>
            </w:r>
          </w:p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5"/>
              </w:numPr>
              <w:pBdr/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Support Visits to communities where projects are delivered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5"/>
              </w:numPr>
              <w:pBdr/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Dedicated team members to support volunteer day to day activities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5"/>
              </w:numPr>
              <w:pBdr/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 allow young people to deliver the programmes in their community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5"/>
              </w:numPr>
              <w:pBdr/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 give young people the freedom to take part to any external meetings or forums that they are invited to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5"/>
              </w:numPr>
              <w:pBdr/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 assign clear roles to young people through well defined job descriptions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5"/>
              </w:numPr>
              <w:pBdr/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 recruit young people based on capability 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5"/>
              </w:numPr>
              <w:pBdr/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 have M&amp;E tools that young people are capacitated with to  review our programmes in the field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5"/>
              </w:numPr>
              <w:pBdr/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 listen to young people's feedback to adapt our programmes e.g. in Tanzania we changed the target age group for both our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Mabinti Tushike Hatamu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programme and Girls Leadership programme based on consultation from young people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Young Person’s Values and Behaviours</w:t>
            </w:r>
          </w:p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pBdr/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 recruit young people based on Restless Development’s values - heart, hand, head, and voice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pBdr/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 clearly indicate expected values and behaviours in all recruitment advertisements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pBdr/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 train young people on Restless Development’s values during induction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Young Person’s role</w:t>
            </w:r>
          </w:p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pBdr/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Capacity Building training using in-house (Swahili and English) and partner toolkits e.g. Pop Council, Sugar Radio, MTV Staying Alive Foundation 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pBdr/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Volunteer allowances to cover for implementation costs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pBdr/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 invite young people to forums where they lead in their participation with support from staff where needed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pBdr/>
              <w:spacing w:line="240" w:lineRule="auto"/>
              <w:ind w:left="720" w:hanging="360"/>
              <w:contextualSpacing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 train young people to report on activities they conduct</w:t>
            </w:r>
          </w:p>
        </w:tc>
      </w:tr>
    </w:tbl>
    <w:p w:rsidR="00000000" w:rsidDel="00000000" w:rsidP="00000000" w:rsidRDefault="00000000" w:rsidRPr="00000000">
      <w:pPr>
        <w:widowControl w:val="0"/>
        <w:pBdr/>
        <w:spacing w:after="160" w:line="259" w:lineRule="auto"/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5" w:type="default"/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contextualSpacing w:val="0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margin">
            <wp:posOffset>-752474</wp:posOffset>
          </wp:positionH>
          <wp:positionV relativeFrom="paragraph">
            <wp:posOffset>57150</wp:posOffset>
          </wp:positionV>
          <wp:extent cx="1480257" cy="452438"/>
          <wp:effectExtent b="0" l="0" r="0" t="0"/>
          <wp:wrapSquare wrapText="bothSides" distB="114300" distT="114300" distL="114300" distR="114300"/>
          <wp:docPr descr="usaid-logo.jpeg" id="3" name="image6.jpg"/>
          <a:graphic>
            <a:graphicData uri="http://schemas.openxmlformats.org/drawingml/2006/picture">
              <pic:pic>
                <pic:nvPicPr>
                  <pic:cNvPr descr="usaid-logo.jpeg" id="0" name="image6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80257" cy="45243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margin">
            <wp:posOffset>4076700</wp:posOffset>
          </wp:positionH>
          <wp:positionV relativeFrom="paragraph">
            <wp:posOffset>23813</wp:posOffset>
          </wp:positionV>
          <wp:extent cx="2266950" cy="534484"/>
          <wp:effectExtent b="0" l="0" r="0" t="0"/>
          <wp:wrapSquare wrapText="bothSides" distB="114300" distT="114300" distL="114300" distR="114300"/>
          <wp:docPr descr="YouthPower_USAID.png" id="2" name="image5.png"/>
          <a:graphic>
            <a:graphicData uri="http://schemas.openxmlformats.org/drawingml/2006/picture">
              <pic:pic>
                <pic:nvPicPr>
                  <pic:cNvPr descr="YouthPower_USAID.png" id="0" name="image5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6950" cy="534484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margin">
            <wp:posOffset>1695450</wp:posOffset>
          </wp:positionH>
          <wp:positionV relativeFrom="paragraph">
            <wp:posOffset>-42862</wp:posOffset>
          </wp:positionV>
          <wp:extent cx="1831181" cy="655946"/>
          <wp:effectExtent b="0" l="0" r="0" t="0"/>
          <wp:wrapSquare wrapText="bothSides" distB="114300" distT="114300" distL="114300" distR="114300"/>
          <wp:docPr descr="PEPFAR.jpg" id="1" name="image4.jpg"/>
          <a:graphic>
            <a:graphicData uri="http://schemas.openxmlformats.org/drawingml/2006/picture">
              <pic:pic>
                <pic:nvPicPr>
                  <pic:cNvPr descr="PEPFAR.jpg" id="0" name="image4.jp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31181" cy="655946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6.jpg"/><Relationship Id="rId2" Type="http://schemas.openxmlformats.org/officeDocument/2006/relationships/image" Target="media/image5.png"/><Relationship Id="rId3" Type="http://schemas.openxmlformats.org/officeDocument/2006/relationships/image" Target="media/image4.jpg"/></Relationships>
</file>