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widowControl w:val="0"/>
        <w:pBdr/>
        <w:spacing w:line="276" w:lineRule="auto"/>
        <w:contextualSpacing w:val="0"/>
        <w:jc w:val="center"/>
        <w:rPr>
          <w:b w:val="1"/>
          <w:color w:val="ba0c2f"/>
          <w:sz w:val="36"/>
          <w:szCs w:val="36"/>
          <w:highlight w:val="white"/>
        </w:rPr>
      </w:pPr>
      <w:r w:rsidDel="00000000" w:rsidR="00000000" w:rsidRPr="00000000">
        <w:rPr>
          <w:b w:val="1"/>
          <w:color w:val="ba0c2f"/>
          <w:sz w:val="36"/>
          <w:szCs w:val="36"/>
          <w:highlight w:val="white"/>
          <w:rtl w:val="0"/>
        </w:rPr>
        <w:t xml:space="preserve">M4-H1-</w:t>
      </w:r>
      <w:r w:rsidDel="00000000" w:rsidR="00000000" w:rsidRPr="00000000">
        <w:rPr>
          <w:b w:val="1"/>
          <w:color w:val="ba0c2f"/>
          <w:sz w:val="36"/>
          <w:szCs w:val="36"/>
          <w:highlight w:val="white"/>
          <w:rtl w:val="0"/>
        </w:rPr>
        <w:t xml:space="preserve">The Enabling Environment:Examples</w:t>
      </w:r>
    </w:p>
    <w:p w:rsidR="00000000" w:rsidDel="00000000" w:rsidP="00000000" w:rsidRDefault="00000000" w:rsidRPr="00000000">
      <w:pPr>
        <w:widowControl w:val="0"/>
        <w:pBdr/>
        <w:spacing w:line="276" w:lineRule="auto"/>
        <w:contextualSpacing w:val="0"/>
        <w:jc w:val="center"/>
        <w:rPr>
          <w:b w:val="1"/>
          <w:color w:val="ba0c2f"/>
          <w:sz w:val="28"/>
          <w:szCs w:val="28"/>
          <w:highlight w:val="white"/>
        </w:rPr>
      </w:pPr>
      <w:r w:rsidDel="00000000" w:rsidR="00000000" w:rsidRPr="00000000">
        <w:rPr>
          <w:rtl w:val="0"/>
        </w:rPr>
      </w:r>
    </w:p>
    <w:p w:rsidR="00000000" w:rsidDel="00000000" w:rsidP="00000000" w:rsidRDefault="00000000" w:rsidRPr="00000000">
      <w:pPr>
        <w:widowControl w:val="0"/>
        <w:pBdr/>
        <w:spacing w:line="276" w:lineRule="auto"/>
        <w:contextualSpacing w:val="0"/>
        <w:rPr>
          <w:b w:val="1"/>
          <w:sz w:val="20"/>
          <w:szCs w:val="20"/>
          <w:highlight w:val="white"/>
        </w:rPr>
      </w:pPr>
      <w:r w:rsidDel="00000000" w:rsidR="00000000" w:rsidRPr="00000000">
        <w:rPr>
          <w:b w:val="1"/>
          <w:sz w:val="20"/>
          <w:szCs w:val="20"/>
          <w:highlight w:val="white"/>
          <w:rtl w:val="0"/>
        </w:rPr>
        <w:t xml:space="preserve">Social Economic Environment: </w:t>
      </w:r>
    </w:p>
    <w:p w:rsidR="00000000" w:rsidDel="00000000" w:rsidP="00000000" w:rsidRDefault="00000000" w:rsidRPr="00000000">
      <w:pPr>
        <w:widowControl w:val="0"/>
        <w:numPr>
          <w:ilvl w:val="0"/>
          <w:numId w:val="6"/>
        </w:numPr>
        <w:pBdr/>
        <w:spacing w:line="276" w:lineRule="auto"/>
        <w:ind w:left="720" w:hanging="360"/>
        <w:contextualSpacing w:val="1"/>
        <w:rPr>
          <w:sz w:val="20"/>
          <w:szCs w:val="20"/>
          <w:highlight w:val="white"/>
        </w:rPr>
      </w:pPr>
      <w:r w:rsidDel="00000000" w:rsidR="00000000" w:rsidRPr="00000000">
        <w:rPr>
          <w:sz w:val="20"/>
          <w:szCs w:val="20"/>
          <w:highlight w:val="white"/>
          <w:u w:val="single"/>
          <w:rtl w:val="0"/>
        </w:rPr>
        <w:t xml:space="preserve">Education:</w:t>
      </w:r>
      <w:r w:rsidDel="00000000" w:rsidR="00000000" w:rsidRPr="00000000">
        <w:rPr>
          <w:sz w:val="20"/>
          <w:szCs w:val="20"/>
          <w:highlight w:val="white"/>
          <w:rtl w:val="0"/>
        </w:rPr>
        <w:t xml:space="preserve"> Includes basic literacy and numeracy skills, as well as enrolment and completion of primary, secondary or tertiary formal education. </w:t>
      </w:r>
    </w:p>
    <w:p w:rsidR="00000000" w:rsidDel="00000000" w:rsidP="00000000" w:rsidRDefault="00000000" w:rsidRPr="00000000">
      <w:pPr>
        <w:widowControl w:val="0"/>
        <w:numPr>
          <w:ilvl w:val="0"/>
          <w:numId w:val="6"/>
        </w:numPr>
        <w:pBdr/>
        <w:spacing w:line="276" w:lineRule="auto"/>
        <w:ind w:left="720" w:hanging="360"/>
        <w:contextualSpacing w:val="1"/>
        <w:rPr>
          <w:sz w:val="20"/>
          <w:szCs w:val="20"/>
          <w:highlight w:val="white"/>
        </w:rPr>
      </w:pPr>
      <w:r w:rsidDel="00000000" w:rsidR="00000000" w:rsidRPr="00000000">
        <w:rPr>
          <w:sz w:val="20"/>
          <w:szCs w:val="20"/>
          <w:highlight w:val="white"/>
          <w:u w:val="single"/>
          <w:rtl w:val="0"/>
        </w:rPr>
        <w:t xml:space="preserve">Communications:</w:t>
      </w:r>
      <w:r w:rsidDel="00000000" w:rsidR="00000000" w:rsidRPr="00000000">
        <w:rPr>
          <w:sz w:val="20"/>
          <w:szCs w:val="20"/>
          <w:highlight w:val="white"/>
          <w:rtl w:val="0"/>
        </w:rPr>
        <w:t xml:space="preserve"> Includes access to technologies used for communication, including Internet and mobile. “Access” can mean skill, availability, cost. </w:t>
      </w:r>
    </w:p>
    <w:p w:rsidR="00000000" w:rsidDel="00000000" w:rsidP="00000000" w:rsidRDefault="00000000" w:rsidRPr="00000000">
      <w:pPr>
        <w:widowControl w:val="0"/>
        <w:numPr>
          <w:ilvl w:val="0"/>
          <w:numId w:val="6"/>
        </w:numPr>
        <w:pBdr/>
        <w:spacing w:line="276" w:lineRule="auto"/>
        <w:ind w:left="720" w:hanging="360"/>
        <w:contextualSpacing w:val="1"/>
        <w:rPr>
          <w:sz w:val="20"/>
          <w:szCs w:val="20"/>
          <w:highlight w:val="white"/>
        </w:rPr>
      </w:pPr>
      <w:r w:rsidDel="00000000" w:rsidR="00000000" w:rsidRPr="00000000">
        <w:rPr>
          <w:sz w:val="20"/>
          <w:szCs w:val="20"/>
          <w:highlight w:val="white"/>
          <w:u w:val="single"/>
          <w:rtl w:val="0"/>
        </w:rPr>
        <w:t xml:space="preserve">Equality:</w:t>
      </w:r>
      <w:r w:rsidDel="00000000" w:rsidR="00000000" w:rsidRPr="00000000">
        <w:rPr>
          <w:sz w:val="20"/>
          <w:szCs w:val="20"/>
          <w:highlight w:val="white"/>
          <w:rtl w:val="0"/>
        </w:rPr>
        <w:t xml:space="preserve"> Reflection of social or economic inequality, and the impact of this on participating in public life. Measures include Gini coefficient, Inequality Adjusted Human Development Index.</w:t>
      </w:r>
    </w:p>
    <w:p w:rsidR="00000000" w:rsidDel="00000000" w:rsidP="00000000" w:rsidRDefault="00000000" w:rsidRPr="00000000">
      <w:pPr>
        <w:widowControl w:val="0"/>
        <w:numPr>
          <w:ilvl w:val="0"/>
          <w:numId w:val="6"/>
        </w:numPr>
        <w:pBdr/>
        <w:spacing w:line="276" w:lineRule="auto"/>
        <w:ind w:left="720" w:hanging="360"/>
        <w:contextualSpacing w:val="1"/>
        <w:rPr>
          <w:sz w:val="20"/>
          <w:szCs w:val="20"/>
          <w:highlight w:val="white"/>
        </w:rPr>
      </w:pPr>
      <w:r w:rsidDel="00000000" w:rsidR="00000000" w:rsidRPr="00000000">
        <w:rPr>
          <w:sz w:val="20"/>
          <w:szCs w:val="20"/>
          <w:highlight w:val="white"/>
          <w:u w:val="single"/>
          <w:rtl w:val="0"/>
        </w:rPr>
        <w:t xml:space="preserve">Gender equality</w:t>
      </w:r>
      <w:r w:rsidDel="00000000" w:rsidR="00000000" w:rsidRPr="00000000">
        <w:rPr>
          <w:sz w:val="20"/>
          <w:szCs w:val="20"/>
          <w:highlight w:val="white"/>
          <w:rtl w:val="0"/>
        </w:rPr>
        <w:t xml:space="preserve">: Specific focus of equality between the sexes.</w:t>
      </w:r>
    </w:p>
    <w:p w:rsidR="00000000" w:rsidDel="00000000" w:rsidP="00000000" w:rsidRDefault="00000000" w:rsidRPr="00000000">
      <w:pPr>
        <w:widowControl w:val="0"/>
        <w:pBdr/>
        <w:spacing w:line="276" w:lineRule="auto"/>
        <w:ind w:left="720" w:firstLine="0"/>
        <w:contextualSpacing w:val="0"/>
        <w:rPr/>
      </w:pPr>
      <w:r w:rsidDel="00000000" w:rsidR="00000000" w:rsidRPr="00000000">
        <w:rPr>
          <w:i w:val="1"/>
          <w:sz w:val="20"/>
          <w:szCs w:val="20"/>
          <w:highlight w:val="white"/>
          <w:rtl w:val="0"/>
        </w:rPr>
        <w:t xml:space="preserve">Youth Specific Examples:</w:t>
      </w:r>
      <w:r w:rsidDel="00000000" w:rsidR="00000000" w:rsidRPr="00000000">
        <w:rPr>
          <w:rtl w:val="0"/>
        </w:rPr>
      </w:r>
    </w:p>
    <w:p w:rsidR="00000000" w:rsidDel="00000000" w:rsidP="00000000" w:rsidRDefault="00000000" w:rsidRPr="00000000">
      <w:pPr>
        <w:widowControl w:val="0"/>
        <w:numPr>
          <w:ilvl w:val="1"/>
          <w:numId w:val="6"/>
        </w:numPr>
        <w:pBdr/>
        <w:spacing w:line="276" w:lineRule="auto"/>
        <w:ind w:left="1440" w:hanging="360"/>
        <w:contextualSpacing w:val="1"/>
        <w:rPr>
          <w:sz w:val="20"/>
          <w:szCs w:val="20"/>
          <w:highlight w:val="white"/>
        </w:rPr>
      </w:pPr>
      <w:r w:rsidDel="00000000" w:rsidR="00000000" w:rsidRPr="00000000">
        <w:rPr>
          <w:sz w:val="20"/>
          <w:szCs w:val="20"/>
          <w:highlight w:val="white"/>
          <w:rtl w:val="0"/>
        </w:rPr>
        <w:t xml:space="preserve">Classification of adulthood and the nature of youth being a transitionary state means that rights attached to adulthood aren’t easily handed over (aside from voting which is based on age)</w:t>
      </w:r>
    </w:p>
    <w:p w:rsidR="00000000" w:rsidDel="00000000" w:rsidP="00000000" w:rsidRDefault="00000000" w:rsidRPr="00000000">
      <w:pPr>
        <w:widowControl w:val="0"/>
        <w:numPr>
          <w:ilvl w:val="1"/>
          <w:numId w:val="6"/>
        </w:numPr>
        <w:pBdr/>
        <w:spacing w:line="276" w:lineRule="auto"/>
        <w:ind w:left="1440" w:hanging="360"/>
        <w:contextualSpacing w:val="1"/>
        <w:rPr>
          <w:sz w:val="20"/>
          <w:szCs w:val="20"/>
          <w:highlight w:val="white"/>
        </w:rPr>
      </w:pPr>
      <w:r w:rsidDel="00000000" w:rsidR="00000000" w:rsidRPr="00000000">
        <w:rPr>
          <w:sz w:val="20"/>
          <w:szCs w:val="20"/>
          <w:highlight w:val="white"/>
          <w:rtl w:val="0"/>
        </w:rPr>
        <w:t xml:space="preserve">Poor education and training affects possession of life skills such as critical thinking and decision making</w:t>
      </w:r>
    </w:p>
    <w:p w:rsidR="00000000" w:rsidDel="00000000" w:rsidP="00000000" w:rsidRDefault="00000000" w:rsidRPr="00000000">
      <w:pPr>
        <w:widowControl w:val="0"/>
        <w:numPr>
          <w:ilvl w:val="1"/>
          <w:numId w:val="6"/>
        </w:numPr>
        <w:pBdr/>
        <w:spacing w:line="276" w:lineRule="auto"/>
        <w:ind w:left="1440" w:hanging="360"/>
        <w:contextualSpacing w:val="1"/>
        <w:rPr>
          <w:sz w:val="20"/>
          <w:szCs w:val="20"/>
          <w:highlight w:val="white"/>
        </w:rPr>
      </w:pPr>
      <w:r w:rsidDel="00000000" w:rsidR="00000000" w:rsidRPr="00000000">
        <w:rPr>
          <w:sz w:val="20"/>
          <w:szCs w:val="20"/>
          <w:highlight w:val="white"/>
          <w:rtl w:val="0"/>
        </w:rPr>
        <w:t xml:space="preserve">Inequality and exclusion of social groups throwing up challenges for how do we reach groups such as rural young women and girls. Even when utilising participatory approaches to youth engagement, it is easy to be exclusive and focus engagement on youth ‘superstars’ who are part of the programme or system already.</w:t>
      </w:r>
    </w:p>
    <w:p w:rsidR="00000000" w:rsidDel="00000000" w:rsidP="00000000" w:rsidRDefault="00000000" w:rsidRPr="00000000">
      <w:pPr>
        <w:widowControl w:val="0"/>
        <w:numPr>
          <w:ilvl w:val="1"/>
          <w:numId w:val="6"/>
        </w:numPr>
        <w:pBdr/>
        <w:spacing w:line="276" w:lineRule="auto"/>
        <w:ind w:left="1440" w:hanging="360"/>
        <w:contextualSpacing w:val="1"/>
        <w:rPr>
          <w:sz w:val="20"/>
          <w:szCs w:val="20"/>
          <w:highlight w:val="white"/>
        </w:rPr>
      </w:pPr>
      <w:r w:rsidDel="00000000" w:rsidR="00000000" w:rsidRPr="00000000">
        <w:rPr>
          <w:sz w:val="20"/>
          <w:szCs w:val="20"/>
          <w:highlight w:val="white"/>
          <w:rtl w:val="0"/>
        </w:rPr>
        <w:t xml:space="preserve">Health as seen in the 2014 Youth Wellbeing Index</w:t>
      </w:r>
      <w:r w:rsidDel="00000000" w:rsidR="00000000" w:rsidRPr="00000000">
        <w:rPr>
          <w:sz w:val="20"/>
          <w:szCs w:val="20"/>
          <w:highlight w:val="white"/>
          <w:vertAlign w:val="superscript"/>
        </w:rPr>
        <w:footnoteReference w:customMarkFollows="0" w:id="0"/>
      </w:r>
      <w:r w:rsidDel="00000000" w:rsidR="00000000" w:rsidRPr="00000000">
        <w:rPr>
          <w:sz w:val="20"/>
          <w:szCs w:val="20"/>
          <w:highlight w:val="white"/>
          <w:rtl w:val="0"/>
        </w:rPr>
        <w:t xml:space="preserve"> </w:t>
      </w:r>
    </w:p>
    <w:p w:rsidR="00000000" w:rsidDel="00000000" w:rsidP="00000000" w:rsidRDefault="00000000" w:rsidRPr="00000000">
      <w:pPr>
        <w:widowControl w:val="0"/>
        <w:numPr>
          <w:ilvl w:val="1"/>
          <w:numId w:val="6"/>
        </w:numPr>
        <w:pBdr/>
        <w:spacing w:line="276" w:lineRule="auto"/>
        <w:ind w:left="1440" w:hanging="360"/>
        <w:contextualSpacing w:val="1"/>
        <w:rPr>
          <w:sz w:val="20"/>
          <w:szCs w:val="20"/>
          <w:highlight w:val="white"/>
        </w:rPr>
      </w:pPr>
      <w:r w:rsidDel="00000000" w:rsidR="00000000" w:rsidRPr="00000000">
        <w:rPr>
          <w:sz w:val="20"/>
          <w:szCs w:val="20"/>
          <w:highlight w:val="white"/>
          <w:rtl w:val="0"/>
        </w:rPr>
        <w:t xml:space="preserve">First generation with such a strong access to technology and communications.</w:t>
      </w:r>
    </w:p>
    <w:p w:rsidR="00000000" w:rsidDel="00000000" w:rsidP="00000000" w:rsidRDefault="00000000" w:rsidRPr="00000000">
      <w:pPr>
        <w:widowControl w:val="0"/>
        <w:pBdr/>
        <w:spacing w:line="276" w:lineRule="auto"/>
        <w:contextualSpacing w:val="0"/>
        <w:rPr/>
      </w:pPr>
      <w:r w:rsidDel="00000000" w:rsidR="00000000" w:rsidRPr="00000000">
        <w:rPr>
          <w:rtl w:val="0"/>
        </w:rPr>
      </w:r>
    </w:p>
    <w:p w:rsidR="00000000" w:rsidDel="00000000" w:rsidP="00000000" w:rsidRDefault="00000000" w:rsidRPr="00000000">
      <w:pPr>
        <w:widowControl w:val="0"/>
        <w:pBdr/>
        <w:spacing w:line="276" w:lineRule="auto"/>
        <w:contextualSpacing w:val="0"/>
        <w:rPr>
          <w:b w:val="1"/>
          <w:sz w:val="20"/>
          <w:szCs w:val="20"/>
          <w:highlight w:val="white"/>
        </w:rPr>
      </w:pPr>
      <w:r w:rsidDel="00000000" w:rsidR="00000000" w:rsidRPr="00000000">
        <w:rPr>
          <w:b w:val="1"/>
          <w:sz w:val="20"/>
          <w:szCs w:val="20"/>
          <w:highlight w:val="white"/>
          <w:rtl w:val="0"/>
        </w:rPr>
        <w:t xml:space="preserve">Social Cultural Environment:</w:t>
      </w:r>
    </w:p>
    <w:p w:rsidR="00000000" w:rsidDel="00000000" w:rsidP="00000000" w:rsidRDefault="00000000" w:rsidRPr="00000000">
      <w:pPr>
        <w:widowControl w:val="0"/>
        <w:numPr>
          <w:ilvl w:val="0"/>
          <w:numId w:val="2"/>
        </w:numPr>
        <w:pBdr/>
        <w:spacing w:line="276" w:lineRule="auto"/>
        <w:ind w:left="720" w:hanging="360"/>
        <w:contextualSpacing w:val="1"/>
        <w:rPr>
          <w:sz w:val="20"/>
          <w:szCs w:val="20"/>
          <w:highlight w:val="white"/>
        </w:rPr>
      </w:pPr>
      <w:r w:rsidDel="00000000" w:rsidR="00000000" w:rsidRPr="00000000">
        <w:rPr>
          <w:sz w:val="20"/>
          <w:szCs w:val="20"/>
          <w:highlight w:val="white"/>
          <w:u w:val="single"/>
          <w:rtl w:val="0"/>
        </w:rPr>
        <w:t xml:space="preserve">Propensity to participate:</w:t>
      </w:r>
      <w:r w:rsidDel="00000000" w:rsidR="00000000" w:rsidRPr="00000000">
        <w:rPr>
          <w:sz w:val="20"/>
          <w:szCs w:val="20"/>
          <w:highlight w:val="white"/>
          <w:rtl w:val="0"/>
        </w:rPr>
        <w:t xml:space="preserve"> Cultural propensity or willingness of people to take part in civic activities </w:t>
      </w:r>
    </w:p>
    <w:p w:rsidR="00000000" w:rsidDel="00000000" w:rsidP="00000000" w:rsidRDefault="00000000" w:rsidRPr="00000000">
      <w:pPr>
        <w:widowControl w:val="0"/>
        <w:numPr>
          <w:ilvl w:val="0"/>
          <w:numId w:val="2"/>
        </w:numPr>
        <w:pBdr/>
        <w:spacing w:line="276" w:lineRule="auto"/>
        <w:ind w:left="720" w:hanging="360"/>
        <w:contextualSpacing w:val="1"/>
        <w:rPr>
          <w:sz w:val="20"/>
          <w:szCs w:val="20"/>
          <w:highlight w:val="white"/>
        </w:rPr>
      </w:pPr>
      <w:r w:rsidDel="00000000" w:rsidR="00000000" w:rsidRPr="00000000">
        <w:rPr>
          <w:sz w:val="20"/>
          <w:szCs w:val="20"/>
          <w:highlight w:val="white"/>
          <w:u w:val="single"/>
          <w:rtl w:val="0"/>
        </w:rPr>
        <w:t xml:space="preserve">Tolerance:</w:t>
      </w:r>
      <w:r w:rsidDel="00000000" w:rsidR="00000000" w:rsidRPr="00000000">
        <w:rPr>
          <w:sz w:val="20"/>
          <w:szCs w:val="20"/>
          <w:highlight w:val="white"/>
          <w:rtl w:val="0"/>
        </w:rPr>
        <w:t xml:space="preserve"> Acceptance or permissive attitudes towards difference (of opinions, race, religion, nationality, sexuality) </w:t>
      </w:r>
    </w:p>
    <w:p w:rsidR="00000000" w:rsidDel="00000000" w:rsidP="00000000" w:rsidRDefault="00000000" w:rsidRPr="00000000">
      <w:pPr>
        <w:widowControl w:val="0"/>
        <w:numPr>
          <w:ilvl w:val="0"/>
          <w:numId w:val="2"/>
        </w:numPr>
        <w:pBdr/>
        <w:spacing w:line="276" w:lineRule="auto"/>
        <w:ind w:left="720" w:hanging="360"/>
        <w:contextualSpacing w:val="1"/>
        <w:rPr>
          <w:sz w:val="20"/>
          <w:szCs w:val="20"/>
          <w:highlight w:val="white"/>
        </w:rPr>
      </w:pPr>
      <w:r w:rsidDel="00000000" w:rsidR="00000000" w:rsidRPr="00000000">
        <w:rPr>
          <w:sz w:val="20"/>
          <w:szCs w:val="20"/>
          <w:highlight w:val="white"/>
          <w:u w:val="single"/>
          <w:rtl w:val="0"/>
        </w:rPr>
        <w:t xml:space="preserve">Trust:</w:t>
      </w:r>
      <w:r w:rsidDel="00000000" w:rsidR="00000000" w:rsidRPr="00000000">
        <w:rPr>
          <w:sz w:val="20"/>
          <w:szCs w:val="20"/>
          <w:highlight w:val="white"/>
          <w:rtl w:val="0"/>
        </w:rPr>
        <w:t xml:space="preserve"> Levels of trust between people or institutions, which can lead to cooperation </w:t>
      </w:r>
    </w:p>
    <w:p w:rsidR="00000000" w:rsidDel="00000000" w:rsidP="00000000" w:rsidRDefault="00000000" w:rsidRPr="00000000">
      <w:pPr>
        <w:widowControl w:val="0"/>
        <w:numPr>
          <w:ilvl w:val="0"/>
          <w:numId w:val="2"/>
        </w:numPr>
        <w:pBdr/>
        <w:spacing w:line="276" w:lineRule="auto"/>
        <w:ind w:left="720" w:hanging="360"/>
        <w:contextualSpacing w:val="1"/>
        <w:rPr>
          <w:sz w:val="20"/>
          <w:szCs w:val="20"/>
          <w:highlight w:val="white"/>
        </w:rPr>
      </w:pPr>
      <w:r w:rsidDel="00000000" w:rsidR="00000000" w:rsidRPr="00000000">
        <w:rPr>
          <w:sz w:val="20"/>
          <w:szCs w:val="20"/>
          <w:highlight w:val="white"/>
          <w:u w:val="single"/>
          <w:rtl w:val="0"/>
        </w:rPr>
        <w:t xml:space="preserve">Giving and volunteering:</w:t>
      </w:r>
      <w:r w:rsidDel="00000000" w:rsidR="00000000" w:rsidRPr="00000000">
        <w:rPr>
          <w:sz w:val="20"/>
          <w:szCs w:val="20"/>
          <w:highlight w:val="white"/>
          <w:rtl w:val="0"/>
        </w:rPr>
        <w:t xml:space="preserve"> Propensity of people to get involved in more formal charitable activities (making donation, helping strangers, volunteering)</w:t>
      </w:r>
    </w:p>
    <w:p w:rsidR="00000000" w:rsidDel="00000000" w:rsidP="00000000" w:rsidRDefault="00000000" w:rsidRPr="00000000">
      <w:pPr>
        <w:widowControl w:val="0"/>
        <w:pBdr/>
        <w:spacing w:line="276" w:lineRule="auto"/>
        <w:ind w:left="720" w:firstLine="0"/>
        <w:contextualSpacing w:val="0"/>
        <w:rPr>
          <w:i w:val="1"/>
          <w:sz w:val="20"/>
          <w:szCs w:val="20"/>
          <w:highlight w:val="white"/>
        </w:rPr>
      </w:pPr>
      <w:r w:rsidDel="00000000" w:rsidR="00000000" w:rsidRPr="00000000">
        <w:rPr>
          <w:rtl w:val="0"/>
        </w:rPr>
      </w:r>
    </w:p>
    <w:p w:rsidR="00000000" w:rsidDel="00000000" w:rsidP="00000000" w:rsidRDefault="00000000" w:rsidRPr="00000000">
      <w:pPr>
        <w:widowControl w:val="0"/>
        <w:pBdr/>
        <w:spacing w:line="276" w:lineRule="auto"/>
        <w:ind w:left="720" w:firstLine="0"/>
        <w:contextualSpacing w:val="0"/>
        <w:rPr/>
      </w:pPr>
      <w:r w:rsidDel="00000000" w:rsidR="00000000" w:rsidRPr="00000000">
        <w:rPr>
          <w:i w:val="1"/>
          <w:sz w:val="20"/>
          <w:szCs w:val="20"/>
          <w:highlight w:val="white"/>
          <w:rtl w:val="0"/>
        </w:rPr>
        <w:t xml:space="preserve">Youth specific examples:</w:t>
      </w:r>
      <w:r w:rsidDel="00000000" w:rsidR="00000000" w:rsidRPr="00000000">
        <w:rPr>
          <w:rtl w:val="0"/>
        </w:rPr>
      </w:r>
    </w:p>
    <w:p w:rsidR="00000000" w:rsidDel="00000000" w:rsidP="00000000" w:rsidRDefault="00000000" w:rsidRPr="00000000">
      <w:pPr>
        <w:widowControl w:val="0"/>
        <w:numPr>
          <w:ilvl w:val="0"/>
          <w:numId w:val="4"/>
        </w:numPr>
        <w:pBdr/>
        <w:spacing w:line="276" w:lineRule="auto"/>
        <w:ind w:left="1440" w:hanging="360"/>
        <w:contextualSpacing w:val="1"/>
        <w:rPr>
          <w:sz w:val="20"/>
          <w:szCs w:val="20"/>
          <w:highlight w:val="white"/>
        </w:rPr>
      </w:pPr>
      <w:r w:rsidDel="00000000" w:rsidR="00000000" w:rsidRPr="00000000">
        <w:rPr>
          <w:sz w:val="20"/>
          <w:szCs w:val="20"/>
          <w:highlight w:val="white"/>
          <w:rtl w:val="0"/>
        </w:rPr>
        <w:t xml:space="preserve">Attitudes towards young people: </w:t>
      </w:r>
    </w:p>
    <w:p w:rsidR="00000000" w:rsidDel="00000000" w:rsidP="00000000" w:rsidRDefault="00000000" w:rsidRPr="00000000">
      <w:pPr>
        <w:widowControl w:val="0"/>
        <w:numPr>
          <w:ilvl w:val="0"/>
          <w:numId w:val="5"/>
        </w:numPr>
        <w:pBdr/>
        <w:spacing w:line="276" w:lineRule="auto"/>
        <w:ind w:left="2160" w:hanging="360"/>
        <w:contextualSpacing w:val="1"/>
        <w:rPr>
          <w:sz w:val="20"/>
          <w:szCs w:val="20"/>
          <w:highlight w:val="white"/>
        </w:rPr>
      </w:pPr>
      <w:r w:rsidDel="00000000" w:rsidR="00000000" w:rsidRPr="00000000">
        <w:rPr>
          <w:sz w:val="20"/>
          <w:szCs w:val="20"/>
          <w:highlight w:val="white"/>
          <w:rtl w:val="0"/>
        </w:rPr>
        <w:t xml:space="preserve">The cultural norm of only viewing young people as beneficiaries, as opposed to partners and leaders.</w:t>
      </w:r>
    </w:p>
    <w:p w:rsidR="00000000" w:rsidDel="00000000" w:rsidP="00000000" w:rsidRDefault="00000000" w:rsidRPr="00000000">
      <w:pPr>
        <w:widowControl w:val="0"/>
        <w:numPr>
          <w:ilvl w:val="0"/>
          <w:numId w:val="5"/>
        </w:numPr>
        <w:pBdr/>
        <w:spacing w:line="276" w:lineRule="auto"/>
        <w:ind w:left="2160" w:hanging="360"/>
        <w:contextualSpacing w:val="1"/>
        <w:rPr>
          <w:sz w:val="20"/>
          <w:szCs w:val="20"/>
          <w:highlight w:val="white"/>
        </w:rPr>
      </w:pPr>
      <w:r w:rsidDel="00000000" w:rsidR="00000000" w:rsidRPr="00000000">
        <w:rPr>
          <w:sz w:val="20"/>
          <w:szCs w:val="20"/>
          <w:highlight w:val="white"/>
          <w:rtl w:val="0"/>
        </w:rPr>
        <w:t xml:space="preserve">Stereotypes regarding the potential value-added of young people. Young people are seen as lacking in expertise, experience dealing with authorities or people in a position of power, technical knowledge, limited mobility, low confidence, weak public communications skills. </w:t>
      </w:r>
    </w:p>
    <w:p w:rsidR="00000000" w:rsidDel="00000000" w:rsidP="00000000" w:rsidRDefault="00000000" w:rsidRPr="00000000">
      <w:pPr>
        <w:widowControl w:val="0"/>
        <w:numPr>
          <w:ilvl w:val="0"/>
          <w:numId w:val="5"/>
        </w:numPr>
        <w:pBdr/>
        <w:spacing w:line="276" w:lineRule="auto"/>
        <w:ind w:left="2160" w:hanging="360"/>
        <w:contextualSpacing w:val="1"/>
        <w:rPr>
          <w:sz w:val="20"/>
          <w:szCs w:val="20"/>
          <w:highlight w:val="white"/>
        </w:rPr>
      </w:pPr>
      <w:r w:rsidDel="00000000" w:rsidR="00000000" w:rsidRPr="00000000">
        <w:rPr>
          <w:sz w:val="20"/>
          <w:szCs w:val="20"/>
          <w:highlight w:val="white"/>
          <w:rtl w:val="0"/>
        </w:rPr>
        <w:t xml:space="preserve">Society views young people as a threat - volatile, aggressive or ‘anti-state.’ Young people often perceived as risky and aggressive, demanding and unaware of the implementation challenges development practitioners face.</w:t>
      </w:r>
    </w:p>
    <w:p w:rsidR="00000000" w:rsidDel="00000000" w:rsidP="00000000" w:rsidRDefault="00000000" w:rsidRPr="00000000">
      <w:pPr>
        <w:widowControl w:val="0"/>
        <w:numPr>
          <w:ilvl w:val="0"/>
          <w:numId w:val="4"/>
        </w:numPr>
        <w:pBdr/>
        <w:spacing w:line="276" w:lineRule="auto"/>
        <w:ind w:left="1440" w:hanging="360"/>
        <w:contextualSpacing w:val="1"/>
        <w:rPr>
          <w:sz w:val="20"/>
          <w:szCs w:val="20"/>
          <w:highlight w:val="white"/>
        </w:rPr>
      </w:pPr>
      <w:r w:rsidDel="00000000" w:rsidR="00000000" w:rsidRPr="00000000">
        <w:rPr>
          <w:sz w:val="20"/>
          <w:szCs w:val="20"/>
          <w:highlight w:val="white"/>
          <w:rtl w:val="0"/>
        </w:rPr>
        <w:t xml:space="preserve">Adults seen as authority: Power norms dictate that adults are more trusted and have greater authority </w:t>
      </w:r>
    </w:p>
    <w:p w:rsidR="00000000" w:rsidDel="00000000" w:rsidP="00000000" w:rsidRDefault="00000000" w:rsidRPr="00000000">
      <w:pPr>
        <w:widowControl w:val="0"/>
        <w:numPr>
          <w:ilvl w:val="0"/>
          <w:numId w:val="4"/>
        </w:numPr>
        <w:pBdr/>
        <w:spacing w:line="276" w:lineRule="auto"/>
        <w:ind w:left="1440" w:hanging="360"/>
        <w:contextualSpacing w:val="1"/>
        <w:rPr>
          <w:sz w:val="20"/>
          <w:szCs w:val="20"/>
          <w:highlight w:val="white"/>
        </w:rPr>
      </w:pPr>
      <w:r w:rsidDel="00000000" w:rsidR="00000000" w:rsidRPr="00000000">
        <w:rPr>
          <w:sz w:val="20"/>
          <w:szCs w:val="20"/>
          <w:highlight w:val="white"/>
          <w:rtl w:val="0"/>
        </w:rPr>
        <w:t xml:space="preserve">Young people’s sexual and reproductive health rights, particularly women and girls’, are sensitive issues for individuals and communities: Until there can be an open and honest dialogue, these prevalent and important issues are hard to address or attempt to resolve.</w:t>
      </w:r>
    </w:p>
    <w:p w:rsidR="00000000" w:rsidDel="00000000" w:rsidP="00000000" w:rsidRDefault="00000000" w:rsidRPr="00000000">
      <w:pPr>
        <w:widowControl w:val="0"/>
        <w:pBdr/>
        <w:spacing w:line="276" w:lineRule="auto"/>
        <w:contextualSpacing w:val="0"/>
        <w:rPr>
          <w:sz w:val="20"/>
          <w:szCs w:val="20"/>
          <w:highlight w:val="white"/>
        </w:rPr>
      </w:pPr>
      <w:r w:rsidDel="00000000" w:rsidR="00000000" w:rsidRPr="00000000">
        <w:rPr>
          <w:rtl w:val="0"/>
        </w:rPr>
      </w:r>
    </w:p>
    <w:p w:rsidR="00000000" w:rsidDel="00000000" w:rsidP="00000000" w:rsidRDefault="00000000" w:rsidRPr="00000000">
      <w:pPr>
        <w:widowControl w:val="0"/>
        <w:pBdr/>
        <w:spacing w:line="276" w:lineRule="auto"/>
        <w:ind w:left="720" w:firstLine="0"/>
        <w:contextualSpacing w:val="0"/>
        <w:rPr>
          <w:b w:val="1"/>
          <w:sz w:val="20"/>
          <w:szCs w:val="20"/>
          <w:highlight w:val="white"/>
        </w:rPr>
      </w:pPr>
      <w:r w:rsidDel="00000000" w:rsidR="00000000" w:rsidRPr="00000000">
        <w:rPr>
          <w:b w:val="1"/>
          <w:sz w:val="20"/>
          <w:szCs w:val="20"/>
          <w:highlight w:val="white"/>
          <w:rtl w:val="0"/>
        </w:rPr>
        <w:t xml:space="preserve">Governance Environment:</w:t>
      </w:r>
    </w:p>
    <w:p w:rsidR="00000000" w:rsidDel="00000000" w:rsidP="00000000" w:rsidRDefault="00000000" w:rsidRPr="00000000">
      <w:pPr>
        <w:widowControl w:val="0"/>
        <w:numPr>
          <w:ilvl w:val="0"/>
          <w:numId w:val="1"/>
        </w:numPr>
        <w:pBdr/>
        <w:spacing w:line="276" w:lineRule="auto"/>
        <w:ind w:left="1440" w:hanging="360"/>
        <w:contextualSpacing w:val="1"/>
        <w:rPr>
          <w:sz w:val="20"/>
          <w:szCs w:val="20"/>
          <w:highlight w:val="white"/>
        </w:rPr>
      </w:pPr>
      <w:r w:rsidDel="00000000" w:rsidR="00000000" w:rsidRPr="00000000">
        <w:rPr>
          <w:sz w:val="20"/>
          <w:szCs w:val="20"/>
          <w:highlight w:val="white"/>
          <w:rtl w:val="0"/>
        </w:rPr>
        <w:t xml:space="preserve">Civil society infrastructure - organisational capacity, civil society’s financial viability and the effectiveness of service provision organisations </w:t>
      </w:r>
    </w:p>
    <w:p w:rsidR="00000000" w:rsidDel="00000000" w:rsidP="00000000" w:rsidRDefault="00000000" w:rsidRPr="00000000">
      <w:pPr>
        <w:widowControl w:val="0"/>
        <w:numPr>
          <w:ilvl w:val="0"/>
          <w:numId w:val="1"/>
        </w:numPr>
        <w:pBdr/>
        <w:spacing w:line="276" w:lineRule="auto"/>
        <w:ind w:left="1440" w:hanging="360"/>
        <w:contextualSpacing w:val="1"/>
        <w:rPr>
          <w:sz w:val="20"/>
          <w:szCs w:val="20"/>
          <w:highlight w:val="white"/>
          <w:u w:val="none"/>
        </w:rPr>
      </w:pPr>
      <w:r w:rsidDel="00000000" w:rsidR="00000000" w:rsidRPr="00000000">
        <w:rPr>
          <w:sz w:val="20"/>
          <w:szCs w:val="20"/>
          <w:highlight w:val="white"/>
          <w:rtl w:val="0"/>
        </w:rPr>
        <w:t xml:space="preserve">Policy dialogue - civil society’s advocacy ability, budget transparency and civil society’s participation in policy</w:t>
      </w:r>
    </w:p>
    <w:p w:rsidR="00000000" w:rsidDel="00000000" w:rsidP="00000000" w:rsidRDefault="00000000" w:rsidRPr="00000000">
      <w:pPr>
        <w:widowControl w:val="0"/>
        <w:numPr>
          <w:ilvl w:val="0"/>
          <w:numId w:val="1"/>
        </w:numPr>
        <w:pBdr/>
        <w:spacing w:line="276" w:lineRule="auto"/>
        <w:ind w:left="1440" w:hanging="360"/>
        <w:contextualSpacing w:val="1"/>
        <w:rPr>
          <w:sz w:val="20"/>
          <w:szCs w:val="20"/>
          <w:highlight w:val="white"/>
          <w:u w:val="none"/>
        </w:rPr>
      </w:pPr>
      <w:r w:rsidDel="00000000" w:rsidR="00000000" w:rsidRPr="00000000">
        <w:rPr>
          <w:sz w:val="20"/>
          <w:szCs w:val="20"/>
          <w:highlight w:val="white"/>
          <w:rtl w:val="0"/>
        </w:rPr>
        <w:t xml:space="preserve">Corruption</w:t>
      </w:r>
    </w:p>
    <w:p w:rsidR="00000000" w:rsidDel="00000000" w:rsidP="00000000" w:rsidRDefault="00000000" w:rsidRPr="00000000">
      <w:pPr>
        <w:widowControl w:val="0"/>
        <w:numPr>
          <w:ilvl w:val="0"/>
          <w:numId w:val="1"/>
        </w:numPr>
        <w:pBdr/>
        <w:spacing w:line="276" w:lineRule="auto"/>
        <w:ind w:left="1440" w:hanging="360"/>
        <w:contextualSpacing w:val="1"/>
        <w:rPr>
          <w:sz w:val="20"/>
          <w:szCs w:val="20"/>
          <w:highlight w:val="white"/>
          <w:u w:val="none"/>
        </w:rPr>
      </w:pPr>
      <w:r w:rsidDel="00000000" w:rsidR="00000000" w:rsidRPr="00000000">
        <w:rPr>
          <w:sz w:val="20"/>
          <w:szCs w:val="20"/>
          <w:highlight w:val="white"/>
          <w:rtl w:val="0"/>
        </w:rPr>
        <w:t xml:space="preserve">Policy rights and freedoms - political stability, freedom, terror, rights and participation</w:t>
      </w:r>
    </w:p>
    <w:p w:rsidR="00000000" w:rsidDel="00000000" w:rsidP="00000000" w:rsidRDefault="00000000" w:rsidRPr="00000000">
      <w:pPr>
        <w:widowControl w:val="0"/>
        <w:numPr>
          <w:ilvl w:val="0"/>
          <w:numId w:val="1"/>
        </w:numPr>
        <w:pBdr/>
        <w:spacing w:line="276" w:lineRule="auto"/>
        <w:ind w:left="1440" w:hanging="360"/>
        <w:contextualSpacing w:val="1"/>
        <w:rPr>
          <w:sz w:val="20"/>
          <w:szCs w:val="20"/>
          <w:highlight w:val="white"/>
          <w:u w:val="none"/>
        </w:rPr>
      </w:pPr>
      <w:r w:rsidDel="00000000" w:rsidR="00000000" w:rsidRPr="00000000">
        <w:rPr>
          <w:sz w:val="20"/>
          <w:szCs w:val="20"/>
          <w:highlight w:val="white"/>
          <w:rtl w:val="0"/>
        </w:rPr>
        <w:t xml:space="preserve">Associational rights - </w:t>
      </w:r>
    </w:p>
    <w:p w:rsidR="00000000" w:rsidDel="00000000" w:rsidP="00000000" w:rsidRDefault="00000000" w:rsidRPr="00000000">
      <w:pPr>
        <w:widowControl w:val="0"/>
        <w:numPr>
          <w:ilvl w:val="0"/>
          <w:numId w:val="1"/>
        </w:numPr>
        <w:pBdr/>
        <w:spacing w:line="276" w:lineRule="auto"/>
        <w:ind w:left="1440" w:hanging="360"/>
        <w:contextualSpacing w:val="1"/>
        <w:rPr>
          <w:sz w:val="20"/>
          <w:szCs w:val="20"/>
          <w:highlight w:val="white"/>
          <w:u w:val="none"/>
        </w:rPr>
      </w:pPr>
      <w:r w:rsidDel="00000000" w:rsidR="00000000" w:rsidRPr="00000000">
        <w:rPr>
          <w:sz w:val="20"/>
          <w:szCs w:val="20"/>
          <w:highlight w:val="white"/>
          <w:rtl w:val="0"/>
        </w:rPr>
        <w:t xml:space="preserve">Rule of law - legal framework, electoral pluralism, confidence in honesty of electoral process, independence of judiciary</w:t>
      </w:r>
    </w:p>
    <w:p w:rsidR="00000000" w:rsidDel="00000000" w:rsidP="00000000" w:rsidRDefault="00000000" w:rsidRPr="00000000">
      <w:pPr>
        <w:widowControl w:val="0"/>
        <w:numPr>
          <w:ilvl w:val="0"/>
          <w:numId w:val="1"/>
        </w:numPr>
        <w:pBdr/>
        <w:spacing w:line="276" w:lineRule="auto"/>
        <w:ind w:left="1440" w:hanging="360"/>
        <w:contextualSpacing w:val="1"/>
        <w:rPr>
          <w:sz w:val="20"/>
          <w:szCs w:val="20"/>
          <w:highlight w:val="white"/>
          <w:u w:val="none"/>
        </w:rPr>
      </w:pPr>
      <w:r w:rsidDel="00000000" w:rsidR="00000000" w:rsidRPr="00000000">
        <w:rPr>
          <w:sz w:val="20"/>
          <w:szCs w:val="20"/>
          <w:highlight w:val="white"/>
          <w:rtl w:val="0"/>
        </w:rPr>
        <w:t xml:space="preserve">Personal rights - the rights not to be tortured, summarily executed, disappeared or imprisoned for political beliefs. Trade union rights and workers rights</w:t>
      </w:r>
    </w:p>
    <w:p w:rsidR="00000000" w:rsidDel="00000000" w:rsidP="00000000" w:rsidRDefault="00000000" w:rsidRPr="00000000">
      <w:pPr>
        <w:widowControl w:val="0"/>
        <w:numPr>
          <w:ilvl w:val="0"/>
          <w:numId w:val="1"/>
        </w:numPr>
        <w:pBdr/>
        <w:spacing w:line="276" w:lineRule="auto"/>
        <w:ind w:left="1440" w:hanging="360"/>
        <w:contextualSpacing w:val="1"/>
        <w:rPr>
          <w:sz w:val="20"/>
          <w:szCs w:val="20"/>
          <w:highlight w:val="white"/>
          <w:u w:val="none"/>
        </w:rPr>
      </w:pPr>
      <w:r w:rsidDel="00000000" w:rsidR="00000000" w:rsidRPr="00000000">
        <w:rPr>
          <w:sz w:val="20"/>
          <w:szCs w:val="20"/>
          <w:highlight w:val="white"/>
          <w:rtl w:val="0"/>
        </w:rPr>
        <w:t xml:space="preserve">NGO legal context</w:t>
      </w:r>
    </w:p>
    <w:p w:rsidR="00000000" w:rsidDel="00000000" w:rsidP="00000000" w:rsidRDefault="00000000" w:rsidRPr="00000000">
      <w:pPr>
        <w:widowControl w:val="0"/>
        <w:numPr>
          <w:ilvl w:val="0"/>
          <w:numId w:val="1"/>
        </w:numPr>
        <w:pBdr/>
        <w:spacing w:line="276" w:lineRule="auto"/>
        <w:ind w:left="1440" w:hanging="360"/>
        <w:contextualSpacing w:val="1"/>
        <w:rPr>
          <w:sz w:val="20"/>
          <w:szCs w:val="20"/>
          <w:highlight w:val="white"/>
          <w:u w:val="none"/>
        </w:rPr>
      </w:pPr>
      <w:r w:rsidDel="00000000" w:rsidR="00000000" w:rsidRPr="00000000">
        <w:rPr>
          <w:sz w:val="20"/>
          <w:szCs w:val="20"/>
          <w:highlight w:val="white"/>
          <w:rtl w:val="0"/>
        </w:rPr>
        <w:t xml:space="preserve">Media freedoms - free speech, press freedom, freedom on the Net</w:t>
      </w:r>
    </w:p>
    <w:p w:rsidR="00000000" w:rsidDel="00000000" w:rsidP="00000000" w:rsidRDefault="00000000" w:rsidRPr="00000000">
      <w:pPr>
        <w:widowControl w:val="0"/>
        <w:pBdr/>
        <w:spacing w:line="276" w:lineRule="auto"/>
        <w:contextualSpacing w:val="0"/>
        <w:rPr>
          <w:sz w:val="20"/>
          <w:szCs w:val="20"/>
          <w:highlight w:val="white"/>
        </w:rPr>
      </w:pPr>
      <w:r w:rsidDel="00000000" w:rsidR="00000000" w:rsidRPr="00000000">
        <w:rPr>
          <w:rtl w:val="0"/>
        </w:rPr>
      </w:r>
    </w:p>
    <w:p w:rsidR="00000000" w:rsidDel="00000000" w:rsidP="00000000" w:rsidRDefault="00000000" w:rsidRPr="00000000">
      <w:pPr>
        <w:widowControl w:val="0"/>
        <w:pBdr/>
        <w:spacing w:line="276" w:lineRule="auto"/>
        <w:ind w:left="720" w:firstLine="0"/>
        <w:contextualSpacing w:val="0"/>
        <w:rPr/>
      </w:pPr>
      <w:r w:rsidDel="00000000" w:rsidR="00000000" w:rsidRPr="00000000">
        <w:rPr>
          <w:i w:val="1"/>
          <w:sz w:val="20"/>
          <w:szCs w:val="20"/>
          <w:highlight w:val="white"/>
          <w:rtl w:val="0"/>
        </w:rPr>
        <w:t xml:space="preserve">Youth specific examples:</w:t>
      </w:r>
      <w:r w:rsidDel="00000000" w:rsidR="00000000" w:rsidRPr="00000000">
        <w:rPr>
          <w:rtl w:val="0"/>
        </w:rPr>
      </w:r>
    </w:p>
    <w:p w:rsidR="00000000" w:rsidDel="00000000" w:rsidP="00000000" w:rsidRDefault="00000000" w:rsidRPr="00000000">
      <w:pPr>
        <w:widowControl w:val="0"/>
        <w:numPr>
          <w:ilvl w:val="1"/>
          <w:numId w:val="3"/>
        </w:numPr>
        <w:pBdr/>
        <w:spacing w:line="276" w:lineRule="auto"/>
        <w:ind w:left="1440" w:hanging="360"/>
        <w:contextualSpacing w:val="1"/>
        <w:rPr>
          <w:sz w:val="20"/>
          <w:szCs w:val="20"/>
          <w:highlight w:val="white"/>
        </w:rPr>
      </w:pPr>
      <w:r w:rsidDel="00000000" w:rsidR="00000000" w:rsidRPr="00000000">
        <w:rPr>
          <w:sz w:val="20"/>
          <w:szCs w:val="20"/>
          <w:highlight w:val="white"/>
          <w:rtl w:val="0"/>
        </w:rPr>
        <w:t xml:space="preserve">Power as for youth engagement to be meaningful, it needs to address the issue of power dynamics. The age of decision makers is disempowering for youth. They may be able to vote, but due to age restrictions, are unable to stand for election. Young people are still underrepresented in decision-making, with only 1.65% of parliamentarians in their 20s.  </w:t>
      </w:r>
    </w:p>
    <w:p w:rsidR="00000000" w:rsidDel="00000000" w:rsidP="00000000" w:rsidRDefault="00000000" w:rsidRPr="00000000">
      <w:pPr>
        <w:widowControl w:val="0"/>
        <w:numPr>
          <w:ilvl w:val="1"/>
          <w:numId w:val="3"/>
        </w:numPr>
        <w:pBdr/>
        <w:spacing w:line="276" w:lineRule="auto"/>
        <w:ind w:left="1440" w:hanging="360"/>
        <w:contextualSpacing w:val="1"/>
        <w:rPr>
          <w:sz w:val="20"/>
          <w:szCs w:val="20"/>
          <w:highlight w:val="white"/>
        </w:rPr>
      </w:pPr>
      <w:r w:rsidDel="00000000" w:rsidR="00000000" w:rsidRPr="00000000">
        <w:rPr>
          <w:sz w:val="20"/>
          <w:szCs w:val="20"/>
          <w:highlight w:val="white"/>
          <w:rtl w:val="0"/>
        </w:rPr>
        <w:t xml:space="preserve">Lack of evidence around what works in youth programing.</w:t>
      </w:r>
    </w:p>
    <w:p w:rsidR="00000000" w:rsidDel="00000000" w:rsidP="00000000" w:rsidRDefault="00000000" w:rsidRPr="00000000">
      <w:pPr>
        <w:widowControl w:val="0"/>
        <w:numPr>
          <w:ilvl w:val="1"/>
          <w:numId w:val="3"/>
        </w:numPr>
        <w:pBdr/>
        <w:spacing w:line="276" w:lineRule="auto"/>
        <w:ind w:left="1440" w:hanging="360"/>
        <w:contextualSpacing w:val="1"/>
        <w:rPr>
          <w:sz w:val="20"/>
          <w:szCs w:val="20"/>
          <w:highlight w:val="white"/>
        </w:rPr>
      </w:pPr>
      <w:r w:rsidDel="00000000" w:rsidR="00000000" w:rsidRPr="00000000">
        <w:rPr>
          <w:sz w:val="20"/>
          <w:szCs w:val="20"/>
          <w:highlight w:val="white"/>
          <w:rtl w:val="0"/>
        </w:rPr>
        <w:t xml:space="preserve">Lack of age-disaggregated data through which to create targeted development programs and measure their impact.</w:t>
      </w:r>
    </w:p>
    <w:p w:rsidR="00000000" w:rsidDel="00000000" w:rsidP="00000000" w:rsidRDefault="00000000" w:rsidRPr="00000000">
      <w:pPr>
        <w:widowControl w:val="0"/>
        <w:numPr>
          <w:ilvl w:val="1"/>
          <w:numId w:val="3"/>
        </w:numPr>
        <w:pBdr/>
        <w:spacing w:line="276" w:lineRule="auto"/>
        <w:ind w:left="1440" w:hanging="360"/>
        <w:contextualSpacing w:val="1"/>
        <w:rPr>
          <w:sz w:val="20"/>
          <w:szCs w:val="20"/>
          <w:highlight w:val="white"/>
        </w:rPr>
      </w:pPr>
      <w:r w:rsidDel="00000000" w:rsidR="00000000" w:rsidRPr="00000000">
        <w:rPr>
          <w:sz w:val="20"/>
          <w:szCs w:val="20"/>
          <w:highlight w:val="white"/>
          <w:rtl w:val="0"/>
        </w:rPr>
        <w:t xml:space="preserve">Short-term engagement. Leads to a continual recycling of activities, whereby new members either reinvent structures.</w:t>
      </w:r>
      <w:r w:rsidDel="00000000" w:rsidR="00000000" w:rsidRPr="00000000">
        <w:rPr>
          <w:sz w:val="20"/>
          <w:szCs w:val="20"/>
          <w:highlight w:val="white"/>
          <w:vertAlign w:val="superscript"/>
        </w:rPr>
        <w:footnoteReference w:customMarkFollows="0" w:id="1"/>
      </w:r>
      <w:r w:rsidDel="00000000" w:rsidR="00000000" w:rsidRPr="00000000">
        <w:rPr>
          <w:sz w:val="20"/>
          <w:szCs w:val="20"/>
          <w:highlight w:val="white"/>
          <w:rtl w:val="0"/>
        </w:rPr>
        <w:t xml:space="preserve"> Government-led youth-related programing tends to focus on addressing pressing youth issues such as unemployment, education, health, particularly sexual and reproductive health and HIV/AIDS in a shallow or short-term way. Often government schemes are popular but criticized as ‘keeping young people busy’ without addressing the underlying structural issues that prevent sustainable improvements for young people livelihoods, health and wellbeing.</w:t>
      </w:r>
      <w:r w:rsidDel="00000000" w:rsidR="00000000" w:rsidRPr="00000000">
        <w:rPr>
          <w:sz w:val="20"/>
          <w:szCs w:val="20"/>
          <w:highlight w:val="white"/>
          <w:vertAlign w:val="superscript"/>
        </w:rPr>
        <w:footnoteReference w:customMarkFollows="0" w:id="2"/>
      </w:r>
      <w:r w:rsidDel="00000000" w:rsidR="00000000" w:rsidRPr="00000000">
        <w:rPr>
          <w:rtl w:val="0"/>
        </w:rPr>
      </w:r>
    </w:p>
    <w:p w:rsidR="00000000" w:rsidDel="00000000" w:rsidP="00000000" w:rsidRDefault="00000000" w:rsidRPr="00000000">
      <w:pPr>
        <w:widowControl w:val="0"/>
        <w:numPr>
          <w:ilvl w:val="1"/>
          <w:numId w:val="3"/>
        </w:numPr>
        <w:pBdr/>
        <w:spacing w:line="276" w:lineRule="auto"/>
        <w:ind w:left="1440" w:hanging="360"/>
        <w:contextualSpacing w:val="1"/>
        <w:rPr>
          <w:sz w:val="20"/>
          <w:szCs w:val="20"/>
          <w:highlight w:val="white"/>
        </w:rPr>
      </w:pPr>
      <w:r w:rsidDel="00000000" w:rsidR="00000000" w:rsidRPr="00000000">
        <w:rPr>
          <w:sz w:val="20"/>
          <w:szCs w:val="20"/>
          <w:highlight w:val="white"/>
          <w:rtl w:val="0"/>
        </w:rPr>
        <w:t xml:space="preserve">Weak infrastructure: In many countries, young people lack direct access to institutional systems and structures within governments, the media and private and civil society sectors. This severely impedes their ability to advocate for their rights. In the rare cases where young people have been able to influence or make decisions, barriers within complicated infrastructure have tended to limit implementation. This destroys young people’s confidence and trust in such mechanisms.</w:t>
      </w:r>
    </w:p>
    <w:p w:rsidR="00000000" w:rsidDel="00000000" w:rsidP="00000000" w:rsidRDefault="00000000" w:rsidRPr="00000000">
      <w:pPr>
        <w:widowControl w:val="0"/>
        <w:numPr>
          <w:ilvl w:val="1"/>
          <w:numId w:val="3"/>
        </w:numPr>
        <w:pBdr/>
        <w:spacing w:line="276" w:lineRule="auto"/>
        <w:ind w:left="1440" w:hanging="360"/>
        <w:contextualSpacing w:val="1"/>
        <w:rPr>
          <w:sz w:val="20"/>
          <w:szCs w:val="20"/>
          <w:highlight w:val="white"/>
        </w:rPr>
      </w:pPr>
      <w:r w:rsidDel="00000000" w:rsidR="00000000" w:rsidRPr="00000000">
        <w:rPr>
          <w:sz w:val="20"/>
          <w:szCs w:val="20"/>
          <w:highlight w:val="white"/>
          <w:rtl w:val="0"/>
        </w:rPr>
        <w:t xml:space="preserve">Access to information technology and open self-expression through social media </w:t>
      </w:r>
    </w:p>
    <w:p w:rsidR="00000000" w:rsidDel="00000000" w:rsidP="00000000" w:rsidRDefault="00000000" w:rsidRPr="00000000">
      <w:pPr>
        <w:pBdr/>
        <w:contextualSpacing w:val="0"/>
        <w:rPr/>
      </w:pPr>
      <w:r w:rsidDel="00000000" w:rsidR="00000000" w:rsidRPr="00000000">
        <w:rPr>
          <w:rtl w:val="0"/>
        </w:rPr>
      </w:r>
    </w:p>
    <w:sectPr>
      <w:headerReference r:id="rId6" w:type="default"/>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otnote w:id="0">
    <w:p w:rsidR="00000000" w:rsidDel="00000000" w:rsidP="00000000" w:rsidRDefault="00000000" w:rsidRPr="00000000">
      <w:pPr>
        <w:widowControl w:val="0"/>
        <w:pBdr/>
        <w:spacing w:line="240" w:lineRule="auto"/>
        <w:contextualSpacing w:val="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Centre for Strategic and International Studies and International Youth Foundation, 2014, Global Youth Wellbeing Index</w:t>
      </w:r>
      <w:r w:rsidDel="00000000" w:rsidR="00000000" w:rsidRPr="00000000">
        <w:rPr>
          <w:rtl w:val="0"/>
        </w:rPr>
      </w:r>
    </w:p>
  </w:footnote>
  <w:footnote w:id="1">
    <w:p w:rsidR="00000000" w:rsidDel="00000000" w:rsidP="00000000" w:rsidRDefault="00000000" w:rsidRPr="00000000">
      <w:pPr>
        <w:widowControl w:val="0"/>
        <w:pBdr/>
        <w:spacing w:line="240" w:lineRule="auto"/>
        <w:contextualSpacing w:val="0"/>
        <w:rPr/>
      </w:pPr>
      <w:r w:rsidDel="00000000" w:rsidR="00000000" w:rsidRPr="00000000">
        <w:rPr>
          <w:rStyle w:val="FootnoteReference"/>
          <w:vertAlign w:val="superscript"/>
        </w:rPr>
        <w:footnoteRef/>
      </w:r>
      <w:r w:rsidDel="00000000" w:rsidR="00000000" w:rsidRPr="00000000">
        <w:rPr>
          <w:sz w:val="16"/>
          <w:szCs w:val="16"/>
          <w:rtl w:val="0"/>
        </w:rPr>
        <w:t xml:space="preserve"> Post-2015. ODI, Restless, Plan UK</w:t>
      </w:r>
      <w:r w:rsidDel="00000000" w:rsidR="00000000" w:rsidRPr="00000000">
        <w:rPr>
          <w:rtl w:val="0"/>
        </w:rPr>
      </w:r>
    </w:p>
  </w:footnote>
  <w:footnote w:id="2">
    <w:p w:rsidR="00000000" w:rsidDel="00000000" w:rsidP="00000000" w:rsidRDefault="00000000" w:rsidRPr="00000000">
      <w:pPr>
        <w:widowControl w:val="0"/>
        <w:pBdr/>
        <w:spacing w:line="240" w:lineRule="auto"/>
        <w:contextualSpacing w:val="0"/>
        <w:rPr/>
      </w:pPr>
      <w:r w:rsidDel="00000000" w:rsidR="00000000" w:rsidRPr="00000000">
        <w:rPr>
          <w:rStyle w:val="FootnoteReference"/>
          <w:vertAlign w:val="superscript"/>
        </w:rPr>
        <w:footnoteRef/>
      </w:r>
      <w:r w:rsidDel="00000000" w:rsidR="00000000" w:rsidRPr="00000000">
        <w:rPr>
          <w:sz w:val="16"/>
          <w:szCs w:val="16"/>
          <w:rtl w:val="0"/>
        </w:rPr>
        <w:t xml:space="preserve"> “Nurturing Youth Leadership”</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widowControl w:val="0"/>
      <w:pBdr/>
      <w:spacing w:line="276" w:lineRule="auto"/>
      <w:contextualSpacing w:val="0"/>
      <w:rPr>
        <w:color w:val="cc000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1752600</wp:posOffset>
          </wp:positionH>
          <wp:positionV relativeFrom="paragraph">
            <wp:posOffset>138113</wp:posOffset>
          </wp:positionV>
          <wp:extent cx="1831181" cy="655946"/>
          <wp:effectExtent b="0" l="0" r="0" t="0"/>
          <wp:wrapSquare wrapText="bothSides" distB="114300" distT="114300" distL="114300" distR="114300"/>
          <wp:docPr descr="PEPFAR.jpg" id="3" name="image6.jpg"/>
          <a:graphic>
            <a:graphicData uri="http://schemas.openxmlformats.org/drawingml/2006/picture">
              <pic:pic>
                <pic:nvPicPr>
                  <pic:cNvPr descr="PEPFAR.jpg" id="0" name="image6.jpg"/>
                  <pic:cNvPicPr preferRelativeResize="0"/>
                </pic:nvPicPr>
                <pic:blipFill>
                  <a:blip r:embed="rId1"/>
                  <a:srcRect b="0" l="0" r="0" t="0"/>
                  <a:stretch>
                    <a:fillRect/>
                  </a:stretch>
                </pic:blipFill>
                <pic:spPr>
                  <a:xfrm>
                    <a:off x="0" y="0"/>
                    <a:ext cx="1831181" cy="655946"/>
                  </a:xfrm>
                  <a:prstGeom prst="rect"/>
                  <a:ln/>
                </pic:spPr>
              </pic:pic>
            </a:graphicData>
          </a:graphic>
        </wp:anchor>
      </w:drawing>
    </w:r>
  </w:p>
  <w:p w:rsidR="00000000" w:rsidDel="00000000" w:rsidP="00000000" w:rsidRDefault="00000000" w:rsidRPr="00000000">
    <w:pPr>
      <w:widowControl w:val="0"/>
      <w:pBdr/>
      <w:spacing w:line="276" w:lineRule="auto"/>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-114297</wp:posOffset>
          </wp:positionH>
          <wp:positionV relativeFrom="paragraph">
            <wp:posOffset>9525</wp:posOffset>
          </wp:positionV>
          <wp:extent cx="1480257" cy="452438"/>
          <wp:effectExtent b="0" l="0" r="0" t="0"/>
          <wp:wrapSquare wrapText="bothSides" distB="114300" distT="114300" distL="114300" distR="114300"/>
          <wp:docPr descr="usaid-logo.jpeg" id="4" name="image7.jpg"/>
          <a:graphic>
            <a:graphicData uri="http://schemas.openxmlformats.org/drawingml/2006/picture">
              <pic:pic>
                <pic:nvPicPr>
                  <pic:cNvPr descr="usaid-logo.jpeg" id="0" name="image7.jpg"/>
                  <pic:cNvPicPr preferRelativeResize="0"/>
                </pic:nvPicPr>
                <pic:blipFill>
                  <a:blip r:embed="rId2"/>
                  <a:srcRect b="0" l="0" r="0" t="0"/>
                  <a:stretch>
                    <a:fillRect/>
                  </a:stretch>
                </pic:blipFill>
                <pic:spPr>
                  <a:xfrm>
                    <a:off x="0" y="0"/>
                    <a:ext cx="1480257" cy="452438"/>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3971925</wp:posOffset>
          </wp:positionH>
          <wp:positionV relativeFrom="paragraph">
            <wp:posOffset>9525</wp:posOffset>
          </wp:positionV>
          <wp:extent cx="2266950" cy="533400"/>
          <wp:effectExtent b="0" l="0" r="0" t="0"/>
          <wp:wrapSquare wrapText="bothSides" distB="114300" distT="114300" distL="114300" distR="114300"/>
          <wp:docPr descr="YouthPower_USAID.png" id="1" name="image2.png"/>
          <a:graphic>
            <a:graphicData uri="http://schemas.openxmlformats.org/drawingml/2006/picture">
              <pic:pic>
                <pic:nvPicPr>
                  <pic:cNvPr descr="YouthPower_USAID.png" id="0" name="image2.png"/>
                  <pic:cNvPicPr preferRelativeResize="0"/>
                </pic:nvPicPr>
                <pic:blipFill>
                  <a:blip r:embed="rId3"/>
                  <a:srcRect b="0" l="0" r="0" t="0"/>
                  <a:stretch>
                    <a:fillRect/>
                  </a:stretch>
                </pic:blipFill>
                <pic:spPr>
                  <a:xfrm>
                    <a:off x="0" y="0"/>
                    <a:ext cx="2266950" cy="533400"/>
                  </a:xfrm>
                  <a:prstGeom prst="rect"/>
                  <a:ln/>
                </pic:spPr>
              </pic:pic>
            </a:graphicData>
          </a:graphic>
        </wp:anchor>
      </w:drawing>
    </w:r>
  </w:p>
  <w:p w:rsidR="00000000" w:rsidDel="00000000" w:rsidP="00000000" w:rsidRDefault="00000000" w:rsidRPr="00000000">
    <w:pPr>
      <w:widowControl w:val="0"/>
      <w:pBdr/>
      <w:spacing w:line="276" w:lineRule="auto"/>
      <w:contextualSpacing w:val="0"/>
      <w:rPr>
        <w:color w:val="cc0000"/>
      </w:rPr>
    </w:pPr>
    <w:r w:rsidDel="00000000" w:rsidR="00000000" w:rsidRPr="00000000">
      <w:rPr>
        <w:rtl w:val="0"/>
      </w:rPr>
    </w:r>
  </w:p>
  <w:p w:rsidR="00000000" w:rsidDel="00000000" w:rsidP="00000000" w:rsidRDefault="00000000" w:rsidRPr="00000000">
    <w:pPr>
      <w:widowControl w:val="0"/>
      <w:pBdr/>
      <w:spacing w:line="276" w:lineRule="auto"/>
      <w:contextualSpacing w:val="0"/>
      <w:rPr>
        <w:color w:val="cc0000"/>
      </w:rPr>
    </w:pPr>
    <w:r w:rsidDel="00000000" w:rsidR="00000000" w:rsidRPr="00000000">
      <w:rPr>
        <w:rtl w:val="0"/>
      </w:rPr>
    </w:r>
  </w:p>
  <w:p w:rsidR="00000000" w:rsidDel="00000000" w:rsidP="00000000" w:rsidRDefault="00000000" w:rsidRPr="00000000">
    <w:pPr>
      <w:widowControl w:val="0"/>
      <w:pBdr/>
      <w:spacing w:line="276" w:lineRule="auto"/>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6419850</wp:posOffset>
          </wp:positionH>
          <wp:positionV relativeFrom="paragraph">
            <wp:posOffset>161925</wp:posOffset>
          </wp:positionV>
          <wp:extent cx="2266950" cy="534484"/>
          <wp:effectExtent b="0" l="0" r="0" t="0"/>
          <wp:wrapSquare wrapText="bothSides" distB="114300" distT="114300" distL="114300" distR="114300"/>
          <wp:docPr descr="YouthPower_USAID.png" id="2" name="image3.png"/>
          <a:graphic>
            <a:graphicData uri="http://schemas.openxmlformats.org/drawingml/2006/picture">
              <pic:pic>
                <pic:nvPicPr>
                  <pic:cNvPr descr="YouthPower_USAID.png" id="0" name="image3.png"/>
                  <pic:cNvPicPr preferRelativeResize="0"/>
                </pic:nvPicPr>
                <pic:blipFill>
                  <a:blip r:embed="rId4"/>
                  <a:srcRect b="0" l="0" r="0" t="0"/>
                  <a:stretch>
                    <a:fillRect/>
                  </a:stretch>
                </pic:blipFill>
                <pic:spPr>
                  <a:xfrm>
                    <a:off x="0" y="0"/>
                    <a:ext cx="2266950" cy="534484"/>
                  </a:xfrm>
                  <a:prstGeom prst="rect"/>
                  <a:ln/>
                </pic:spPr>
              </pic:pic>
            </a:graphicData>
          </a:graphic>
        </wp:anchor>
      </w:drawing>
    </w:r>
  </w:p>
  <w:p w:rsidR="00000000" w:rsidDel="00000000" w:rsidP="00000000" w:rsidRDefault="00000000" w:rsidRPr="00000000">
    <w:pPr>
      <w:pBd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2">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3">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4">
    <w:lvl w:ilvl="0">
      <w:start w:val="1"/>
      <w:numFmt w:val="decimal"/>
      <w:lvlText w:val="%1."/>
      <w:lvlJc w:val="left"/>
      <w:pPr>
        <w:ind w:left="1440" w:firstLine="2520"/>
      </w:pPr>
      <w:rPr>
        <w:u w:val="none"/>
      </w:rPr>
    </w:lvl>
    <w:lvl w:ilvl="1">
      <w:start w:val="1"/>
      <w:numFmt w:val="lowerLetter"/>
      <w:lvlText w:val="%2."/>
      <w:lvlJc w:val="left"/>
      <w:pPr>
        <w:ind w:left="2160" w:firstLine="3960"/>
      </w:pPr>
      <w:rPr>
        <w:u w:val="none"/>
      </w:rPr>
    </w:lvl>
    <w:lvl w:ilvl="2">
      <w:start w:val="1"/>
      <w:numFmt w:val="lowerRoman"/>
      <w:lvlText w:val="%3."/>
      <w:lvlJc w:val="right"/>
      <w:pPr>
        <w:ind w:left="2880" w:firstLine="5400"/>
      </w:pPr>
      <w:rPr>
        <w:u w:val="none"/>
      </w:rPr>
    </w:lvl>
    <w:lvl w:ilvl="3">
      <w:start w:val="1"/>
      <w:numFmt w:val="decimal"/>
      <w:lvlText w:val="%4."/>
      <w:lvlJc w:val="left"/>
      <w:pPr>
        <w:ind w:left="3600" w:firstLine="6840"/>
      </w:pPr>
      <w:rPr>
        <w:u w:val="none"/>
      </w:rPr>
    </w:lvl>
    <w:lvl w:ilvl="4">
      <w:start w:val="1"/>
      <w:numFmt w:val="lowerLetter"/>
      <w:lvlText w:val="%5."/>
      <w:lvlJc w:val="left"/>
      <w:pPr>
        <w:ind w:left="4320" w:firstLine="8280"/>
      </w:pPr>
      <w:rPr>
        <w:u w:val="none"/>
      </w:rPr>
    </w:lvl>
    <w:lvl w:ilvl="5">
      <w:start w:val="1"/>
      <w:numFmt w:val="lowerRoman"/>
      <w:lvlText w:val="%6."/>
      <w:lvlJc w:val="right"/>
      <w:pPr>
        <w:ind w:left="5040" w:firstLine="9720"/>
      </w:pPr>
      <w:rPr>
        <w:u w:val="none"/>
      </w:rPr>
    </w:lvl>
    <w:lvl w:ilvl="6">
      <w:start w:val="1"/>
      <w:numFmt w:val="decimal"/>
      <w:lvlText w:val="%7."/>
      <w:lvlJc w:val="left"/>
      <w:pPr>
        <w:ind w:left="5760" w:firstLine="11160"/>
      </w:pPr>
      <w:rPr>
        <w:u w:val="none"/>
      </w:rPr>
    </w:lvl>
    <w:lvl w:ilvl="7">
      <w:start w:val="1"/>
      <w:numFmt w:val="lowerLetter"/>
      <w:lvlText w:val="%8."/>
      <w:lvlJc w:val="left"/>
      <w:pPr>
        <w:ind w:left="6480" w:firstLine="12600"/>
      </w:pPr>
      <w:rPr>
        <w:u w:val="none"/>
      </w:rPr>
    </w:lvl>
    <w:lvl w:ilvl="8">
      <w:start w:val="1"/>
      <w:numFmt w:val="lowerRoman"/>
      <w:lvlText w:val="%9."/>
      <w:lvlJc w:val="right"/>
      <w:pPr>
        <w:ind w:left="7200" w:firstLine="14040"/>
      </w:pPr>
      <w:rPr>
        <w:u w:val="none"/>
      </w:rPr>
    </w:lvl>
  </w:abstractNum>
  <w:abstractNum w:abstractNumId="5">
    <w:lvl w:ilvl="0">
      <w:start w:val="1"/>
      <w:numFmt w:val="bullet"/>
      <w:lvlText w:val="●"/>
      <w:lvlJc w:val="left"/>
      <w:pPr>
        <w:ind w:left="2160" w:firstLine="3960"/>
      </w:pPr>
      <w:rPr>
        <w:rFonts w:ascii="Arial" w:cs="Arial" w:eastAsia="Arial" w:hAnsi="Arial"/>
        <w:u w:val="none"/>
      </w:rPr>
    </w:lvl>
    <w:lvl w:ilvl="1">
      <w:start w:val="1"/>
      <w:numFmt w:val="bullet"/>
      <w:lvlText w:val="○"/>
      <w:lvlJc w:val="left"/>
      <w:pPr>
        <w:ind w:left="2880" w:firstLine="5400"/>
      </w:pPr>
      <w:rPr>
        <w:rFonts w:ascii="Arial" w:cs="Arial" w:eastAsia="Arial" w:hAnsi="Arial"/>
        <w:u w:val="none"/>
      </w:rPr>
    </w:lvl>
    <w:lvl w:ilvl="2">
      <w:start w:val="1"/>
      <w:numFmt w:val="bullet"/>
      <w:lvlText w:val="■"/>
      <w:lvlJc w:val="left"/>
      <w:pPr>
        <w:ind w:left="3600" w:firstLine="6840"/>
      </w:pPr>
      <w:rPr>
        <w:rFonts w:ascii="Arial" w:cs="Arial" w:eastAsia="Arial" w:hAnsi="Arial"/>
        <w:u w:val="none"/>
      </w:rPr>
    </w:lvl>
    <w:lvl w:ilvl="3">
      <w:start w:val="1"/>
      <w:numFmt w:val="bullet"/>
      <w:lvlText w:val="●"/>
      <w:lvlJc w:val="left"/>
      <w:pPr>
        <w:ind w:left="4320" w:firstLine="8280"/>
      </w:pPr>
      <w:rPr>
        <w:rFonts w:ascii="Arial" w:cs="Arial" w:eastAsia="Arial" w:hAnsi="Arial"/>
        <w:u w:val="none"/>
      </w:rPr>
    </w:lvl>
    <w:lvl w:ilvl="4">
      <w:start w:val="1"/>
      <w:numFmt w:val="bullet"/>
      <w:lvlText w:val="○"/>
      <w:lvlJc w:val="left"/>
      <w:pPr>
        <w:ind w:left="5040" w:firstLine="9720"/>
      </w:pPr>
      <w:rPr>
        <w:rFonts w:ascii="Arial" w:cs="Arial" w:eastAsia="Arial" w:hAnsi="Arial"/>
        <w:u w:val="none"/>
      </w:rPr>
    </w:lvl>
    <w:lvl w:ilvl="5">
      <w:start w:val="1"/>
      <w:numFmt w:val="bullet"/>
      <w:lvlText w:val="■"/>
      <w:lvlJc w:val="left"/>
      <w:pPr>
        <w:ind w:left="5760" w:firstLine="11160"/>
      </w:pPr>
      <w:rPr>
        <w:rFonts w:ascii="Arial" w:cs="Arial" w:eastAsia="Arial" w:hAnsi="Arial"/>
        <w:u w:val="none"/>
      </w:rPr>
    </w:lvl>
    <w:lvl w:ilvl="6">
      <w:start w:val="1"/>
      <w:numFmt w:val="bullet"/>
      <w:lvlText w:val="●"/>
      <w:lvlJc w:val="left"/>
      <w:pPr>
        <w:ind w:left="6480" w:firstLine="12600"/>
      </w:pPr>
      <w:rPr>
        <w:rFonts w:ascii="Arial" w:cs="Arial" w:eastAsia="Arial" w:hAnsi="Arial"/>
        <w:u w:val="none"/>
      </w:rPr>
    </w:lvl>
    <w:lvl w:ilvl="7">
      <w:start w:val="1"/>
      <w:numFmt w:val="bullet"/>
      <w:lvlText w:val="○"/>
      <w:lvlJc w:val="left"/>
      <w:pPr>
        <w:ind w:left="7200" w:firstLine="14040"/>
      </w:pPr>
      <w:rPr>
        <w:rFonts w:ascii="Arial" w:cs="Arial" w:eastAsia="Arial" w:hAnsi="Arial"/>
        <w:u w:val="none"/>
      </w:rPr>
    </w:lvl>
    <w:lvl w:ilvl="8">
      <w:start w:val="1"/>
      <w:numFmt w:val="bullet"/>
      <w:lvlText w:val="■"/>
      <w:lvlJc w:val="left"/>
      <w:pPr>
        <w:ind w:left="7920" w:firstLine="15480"/>
      </w:pPr>
      <w:rPr>
        <w:rFonts w:ascii="Arial" w:cs="Arial" w:eastAsia="Arial" w:hAnsi="Arial"/>
        <w:u w:val="none"/>
      </w:rPr>
    </w:lvl>
  </w:abstractNum>
  <w:abstractNum w:abstractNumId="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 Id="rId2" Type="http://schemas.openxmlformats.org/officeDocument/2006/relationships/image" Target="media/image7.jpg"/><Relationship Id="rId3" Type="http://schemas.openxmlformats.org/officeDocument/2006/relationships/image" Target="media/image2.png"/><Relationship Id="rId4" Type="http://schemas.openxmlformats.org/officeDocument/2006/relationships/image" Target="media/image3.png"/></Relationships>
</file>